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F2C4" w14:textId="7BD6C9F7" w:rsidR="00EF34B9" w:rsidRDefault="00C121DE" w:rsidP="00EC3929">
      <w:pPr>
        <w:spacing w:before="200" w:after="100"/>
        <w:rPr>
          <w:rFonts w:ascii="Arial" w:eastAsia="Calibri" w:hAnsi="Arial" w:cs="Arial"/>
          <w:b/>
          <w:bCs/>
          <w:color w:val="000000"/>
          <w:sz w:val="20"/>
          <w:szCs w:val="20"/>
        </w:rPr>
      </w:pPr>
      <w:r>
        <w:rPr>
          <w:rFonts w:ascii="Arial" w:eastAsia="Calibri" w:hAnsi="Arial" w:cs="Arial"/>
          <w:b/>
          <w:bCs/>
          <w:color w:val="000000"/>
          <w:sz w:val="20"/>
          <w:szCs w:val="20"/>
        </w:rPr>
        <w:t>Appendix Q</w:t>
      </w:r>
      <w:bookmarkStart w:id="0" w:name="_GoBack"/>
      <w:bookmarkEnd w:id="0"/>
    </w:p>
    <w:p w14:paraId="4E690957" w14:textId="77777777" w:rsidR="00EC3929" w:rsidRPr="00BE2BA4" w:rsidRDefault="00EC3929" w:rsidP="00EC3929">
      <w:pPr>
        <w:spacing w:before="200" w:after="100"/>
        <w:rPr>
          <w:rFonts w:ascii="Times" w:eastAsia="Calibri" w:hAnsi="Times"/>
          <w:sz w:val="20"/>
          <w:szCs w:val="20"/>
        </w:rPr>
      </w:pPr>
      <w:r w:rsidRPr="00BE2BA4">
        <w:rPr>
          <w:rFonts w:ascii="Arial" w:eastAsia="Calibri" w:hAnsi="Arial" w:cs="Arial"/>
          <w:b/>
          <w:bCs/>
          <w:color w:val="000000"/>
          <w:sz w:val="20"/>
          <w:szCs w:val="20"/>
        </w:rPr>
        <w:t>Power Elements for Inclusive Practice—Massachusetts Model System School-Level Administrator Rubric</w:t>
      </w:r>
    </w:p>
    <w:tbl>
      <w:tblPr>
        <w:tblW w:w="0" w:type="auto"/>
        <w:tblCellMar>
          <w:top w:w="15" w:type="dxa"/>
          <w:left w:w="15" w:type="dxa"/>
          <w:bottom w:w="15" w:type="dxa"/>
          <w:right w:w="15" w:type="dxa"/>
        </w:tblCellMar>
        <w:tblLook w:val="04A0" w:firstRow="1" w:lastRow="0" w:firstColumn="1" w:lastColumn="0" w:noHBand="0" w:noVBand="1"/>
      </w:tblPr>
      <w:tblGrid>
        <w:gridCol w:w="1487"/>
        <w:gridCol w:w="1583"/>
        <w:gridCol w:w="1623"/>
        <w:gridCol w:w="4107"/>
      </w:tblGrid>
      <w:tr w:rsidR="00EC3929" w:rsidRPr="00BE2BA4" w14:paraId="45E3D547" w14:textId="77777777" w:rsidTr="008A773F">
        <w:trPr>
          <w:trHeight w:val="220"/>
        </w:trPr>
        <w:tc>
          <w:tcPr>
            <w:tcW w:w="0" w:type="auto"/>
            <w:tcBorders>
              <w:top w:val="single" w:sz="6" w:space="0" w:color="004386"/>
              <w:left w:val="single" w:sz="6" w:space="0" w:color="004386"/>
              <w:bottom w:val="single" w:sz="6" w:space="0" w:color="004386"/>
              <w:right w:val="single" w:sz="6" w:space="0" w:color="004386"/>
            </w:tcBorders>
            <w:shd w:val="clear" w:color="auto" w:fill="1F497D"/>
            <w:tcMar>
              <w:top w:w="80" w:type="dxa"/>
              <w:left w:w="80" w:type="dxa"/>
              <w:bottom w:w="80" w:type="dxa"/>
              <w:right w:w="80" w:type="dxa"/>
            </w:tcMar>
            <w:vAlign w:val="center"/>
            <w:hideMark/>
          </w:tcPr>
          <w:p w14:paraId="2E983B07"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b/>
                <w:bCs/>
                <w:color w:val="000000"/>
                <w:sz w:val="18"/>
                <w:szCs w:val="18"/>
              </w:rPr>
              <w:t xml:space="preserve">Standard </w:t>
            </w:r>
          </w:p>
        </w:tc>
        <w:tc>
          <w:tcPr>
            <w:tcW w:w="0" w:type="auto"/>
            <w:tcBorders>
              <w:top w:val="single" w:sz="6" w:space="0" w:color="004386"/>
              <w:left w:val="single" w:sz="6" w:space="0" w:color="004386"/>
              <w:bottom w:val="single" w:sz="6" w:space="0" w:color="004386"/>
              <w:right w:val="single" w:sz="6" w:space="0" w:color="004386"/>
            </w:tcBorders>
            <w:shd w:val="clear" w:color="auto" w:fill="1F497D"/>
            <w:tcMar>
              <w:top w:w="80" w:type="dxa"/>
              <w:left w:w="80" w:type="dxa"/>
              <w:bottom w:w="80" w:type="dxa"/>
              <w:right w:w="80" w:type="dxa"/>
            </w:tcMar>
            <w:vAlign w:val="center"/>
            <w:hideMark/>
          </w:tcPr>
          <w:p w14:paraId="211D4F04"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b/>
                <w:bCs/>
                <w:color w:val="000000"/>
                <w:sz w:val="18"/>
                <w:szCs w:val="18"/>
              </w:rPr>
              <w:t xml:space="preserve">Indicator </w:t>
            </w:r>
          </w:p>
        </w:tc>
        <w:tc>
          <w:tcPr>
            <w:tcW w:w="0" w:type="auto"/>
            <w:tcBorders>
              <w:top w:val="single" w:sz="6" w:space="0" w:color="004386"/>
              <w:left w:val="single" w:sz="6" w:space="0" w:color="004386"/>
              <w:bottom w:val="single" w:sz="6" w:space="0" w:color="004386"/>
              <w:right w:val="single" w:sz="6" w:space="0" w:color="004386"/>
            </w:tcBorders>
            <w:shd w:val="clear" w:color="auto" w:fill="1F497D"/>
            <w:tcMar>
              <w:top w:w="80" w:type="dxa"/>
              <w:left w:w="80" w:type="dxa"/>
              <w:bottom w:w="80" w:type="dxa"/>
              <w:right w:w="80" w:type="dxa"/>
            </w:tcMar>
            <w:vAlign w:val="center"/>
            <w:hideMark/>
          </w:tcPr>
          <w:p w14:paraId="7C6D0D43"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b/>
                <w:bCs/>
                <w:color w:val="000000"/>
                <w:sz w:val="18"/>
                <w:szCs w:val="18"/>
              </w:rPr>
              <w:t xml:space="preserve">Element </w:t>
            </w:r>
          </w:p>
        </w:tc>
        <w:tc>
          <w:tcPr>
            <w:tcW w:w="0" w:type="auto"/>
            <w:tcBorders>
              <w:top w:val="single" w:sz="6" w:space="0" w:color="004386"/>
              <w:left w:val="single" w:sz="6" w:space="0" w:color="004386"/>
              <w:bottom w:val="single" w:sz="6" w:space="0" w:color="004386"/>
              <w:right w:val="single" w:sz="6" w:space="0" w:color="004386"/>
            </w:tcBorders>
            <w:shd w:val="clear" w:color="auto" w:fill="1F497D"/>
            <w:tcMar>
              <w:top w:w="80" w:type="dxa"/>
              <w:left w:w="80" w:type="dxa"/>
              <w:bottom w:w="80" w:type="dxa"/>
              <w:right w:w="80" w:type="dxa"/>
            </w:tcMar>
            <w:vAlign w:val="center"/>
            <w:hideMark/>
          </w:tcPr>
          <w:p w14:paraId="7EA2C81C"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b/>
                <w:bCs/>
                <w:color w:val="000000"/>
                <w:sz w:val="18"/>
                <w:szCs w:val="18"/>
              </w:rPr>
              <w:t xml:space="preserve">Description (Proficiency Level) </w:t>
            </w:r>
          </w:p>
        </w:tc>
      </w:tr>
      <w:tr w:rsidR="00EC3929" w:rsidRPr="00BE2BA4" w14:paraId="043BD8F2" w14:textId="77777777" w:rsidTr="008A773F">
        <w:trPr>
          <w:trHeight w:val="840"/>
        </w:trPr>
        <w:tc>
          <w:tcPr>
            <w:tcW w:w="0" w:type="auto"/>
            <w:tcBorders>
              <w:top w:val="single" w:sz="6" w:space="0" w:color="004386"/>
              <w:left w:val="single" w:sz="6" w:space="0" w:color="004386"/>
              <w:right w:val="single" w:sz="6" w:space="0" w:color="004386"/>
            </w:tcBorders>
            <w:shd w:val="clear" w:color="auto" w:fill="FFFFFF"/>
            <w:tcMar>
              <w:top w:w="80" w:type="dxa"/>
              <w:left w:w="80" w:type="dxa"/>
              <w:bottom w:w="80" w:type="dxa"/>
              <w:right w:w="80" w:type="dxa"/>
            </w:tcMar>
            <w:hideMark/>
          </w:tcPr>
          <w:p w14:paraId="5079EF6A"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000000"/>
                <w:sz w:val="18"/>
                <w:szCs w:val="18"/>
              </w:rPr>
              <w:t>Standard I: Instructional Leadership</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70E2A18D"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Curriculum</w:t>
            </w:r>
          </w:p>
          <w:p w14:paraId="415C9B94"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(I-A)</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18C95243"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Lesson Development Support</w:t>
            </w:r>
          </w:p>
          <w:p w14:paraId="7E65917A"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(I-A-2)</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198AFDEB"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Supports educators to develop well-structured lessons with challenging, measurable objectives and appropriate student engagement strategies, pacing, sequence, activities, materials, technologies, and grouping.</w:t>
            </w:r>
          </w:p>
        </w:tc>
      </w:tr>
      <w:tr w:rsidR="00EC3929" w:rsidRPr="00BE2BA4" w14:paraId="46E273FA" w14:textId="77777777" w:rsidTr="008A773F">
        <w:trPr>
          <w:trHeight w:val="640"/>
        </w:trPr>
        <w:tc>
          <w:tcPr>
            <w:tcW w:w="0" w:type="auto"/>
            <w:tcBorders>
              <w:left w:val="single" w:sz="6" w:space="0" w:color="004386"/>
              <w:right w:val="single" w:sz="6" w:space="0" w:color="004386"/>
            </w:tcBorders>
            <w:shd w:val="clear" w:color="auto" w:fill="FFFFFF"/>
            <w:tcMar>
              <w:top w:w="80" w:type="dxa"/>
              <w:left w:w="80" w:type="dxa"/>
              <w:bottom w:w="80" w:type="dxa"/>
              <w:right w:w="80" w:type="dxa"/>
            </w:tcMar>
            <w:hideMark/>
          </w:tcPr>
          <w:p w14:paraId="06FE74B7"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FFFFFF"/>
                <w:sz w:val="12"/>
                <w:szCs w:val="12"/>
              </w:rPr>
              <w:t>Standard I: Instructional Leadership</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6AD037D1"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Instruction</w:t>
            </w:r>
          </w:p>
          <w:p w14:paraId="50FA34A0"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(I-B)</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29C1C6F4"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Diverse Learners’ Needs</w:t>
            </w:r>
          </w:p>
          <w:p w14:paraId="09FA368A"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(I-B-3)</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5F0B12F0"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While observing practice and reviewing unit plans, looks for and identifies a variety of teaching strategies and practices that are effective with diverse learners.</w:t>
            </w:r>
          </w:p>
        </w:tc>
      </w:tr>
      <w:tr w:rsidR="00EC3929" w:rsidRPr="00BE2BA4" w14:paraId="57BE6C1C" w14:textId="77777777" w:rsidTr="008A773F">
        <w:trPr>
          <w:trHeight w:val="800"/>
        </w:trPr>
        <w:tc>
          <w:tcPr>
            <w:tcW w:w="0" w:type="auto"/>
            <w:tcBorders>
              <w:left w:val="single" w:sz="6" w:space="0" w:color="004386"/>
              <w:bottom w:val="single" w:sz="6" w:space="0" w:color="004386"/>
              <w:right w:val="single" w:sz="6" w:space="0" w:color="004386"/>
            </w:tcBorders>
            <w:shd w:val="clear" w:color="auto" w:fill="FFFFFF"/>
            <w:tcMar>
              <w:top w:w="80" w:type="dxa"/>
              <w:left w:w="80" w:type="dxa"/>
              <w:bottom w:w="80" w:type="dxa"/>
              <w:right w:w="80" w:type="dxa"/>
            </w:tcMar>
            <w:hideMark/>
          </w:tcPr>
          <w:p w14:paraId="78882225"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FFFFFF"/>
                <w:sz w:val="12"/>
                <w:szCs w:val="12"/>
              </w:rPr>
              <w:t>Standard I: Instructional Leadership</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1992EDF7"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Assessment</w:t>
            </w:r>
          </w:p>
          <w:p w14:paraId="34BFCE69"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(I-C)</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3D5E5608"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Variety of Assessments</w:t>
            </w:r>
          </w:p>
          <w:p w14:paraId="67173A1C"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(I-C-1)</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011D2FC6"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Supports educator teams to use a variety of formal and informal methods and assessments, including common interim assessments that are aligned across grade levels and subject areas.</w:t>
            </w:r>
          </w:p>
        </w:tc>
      </w:tr>
      <w:tr w:rsidR="00EC3929" w:rsidRPr="00BE2BA4" w14:paraId="51D6E715" w14:textId="77777777" w:rsidTr="008A773F">
        <w:trPr>
          <w:trHeight w:val="1200"/>
        </w:trPr>
        <w:tc>
          <w:tcPr>
            <w:tcW w:w="0" w:type="auto"/>
            <w:tcBorders>
              <w:top w:val="single" w:sz="6" w:space="0" w:color="004386"/>
              <w:left w:val="single" w:sz="6" w:space="0" w:color="004386"/>
              <w:right w:val="single" w:sz="6" w:space="0" w:color="004386"/>
            </w:tcBorders>
            <w:shd w:val="clear" w:color="auto" w:fill="FFFFFF"/>
            <w:tcMar>
              <w:top w:w="80" w:type="dxa"/>
              <w:left w:w="80" w:type="dxa"/>
              <w:bottom w:w="80" w:type="dxa"/>
              <w:right w:w="80" w:type="dxa"/>
            </w:tcMar>
            <w:hideMark/>
          </w:tcPr>
          <w:p w14:paraId="3F465C51"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000000"/>
                <w:sz w:val="18"/>
                <w:szCs w:val="18"/>
              </w:rPr>
              <w:t xml:space="preserve">Standard II: </w:t>
            </w:r>
            <w:r w:rsidRPr="00BE2BA4">
              <w:rPr>
                <w:rFonts w:ascii="Arimo" w:eastAsia="Calibri" w:hAnsi="Arimo"/>
                <w:color w:val="000000"/>
                <w:sz w:val="18"/>
                <w:szCs w:val="18"/>
              </w:rPr>
              <w:br/>
            </w:r>
            <w:r w:rsidRPr="00BE2BA4">
              <w:rPr>
                <w:rFonts w:ascii="Arial" w:eastAsia="Calibri" w:hAnsi="Arial" w:cs="Arial"/>
                <w:b/>
                <w:bCs/>
                <w:color w:val="000000"/>
                <w:sz w:val="18"/>
                <w:szCs w:val="18"/>
              </w:rPr>
              <w:t>Management and Operations</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0950752F"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Environment</w:t>
            </w:r>
          </w:p>
          <w:p w14:paraId="6EAC32CF"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(II-A)</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5F262BE1"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 xml:space="preserve">Student Safety, Health, and Social and Emotional Needs </w:t>
            </w:r>
          </w:p>
          <w:p w14:paraId="566E3A2B"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(II-A-3)</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5DBA5EE2"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 xml:space="preserve">Demonstrates high expectations for student behavior and provides appropriate training for staff to uphold these expectations. Establishes </w:t>
            </w:r>
            <w:proofErr w:type="spellStart"/>
            <w:r w:rsidRPr="00BE2BA4">
              <w:rPr>
                <w:rFonts w:ascii="Arial" w:eastAsia="Calibri" w:hAnsi="Arial" w:cs="Arial"/>
                <w:color w:val="000000"/>
                <w:sz w:val="18"/>
                <w:szCs w:val="18"/>
              </w:rPr>
              <w:t>schoolwide</w:t>
            </w:r>
            <w:proofErr w:type="spellEnd"/>
            <w:r w:rsidRPr="00BE2BA4">
              <w:rPr>
                <w:rFonts w:ascii="Arial" w:eastAsia="Calibri" w:hAnsi="Arial" w:cs="Arial"/>
                <w:color w:val="000000"/>
                <w:sz w:val="18"/>
                <w:szCs w:val="18"/>
              </w:rPr>
              <w:t xml:space="preserve"> routines and consequences, including policies and systems to prevent and address bullying and other behaviors that threaten students’ social and emotional </w:t>
            </w:r>
            <w:proofErr w:type="gramStart"/>
            <w:r w:rsidRPr="00BE2BA4">
              <w:rPr>
                <w:rFonts w:ascii="Arial" w:eastAsia="Calibri" w:hAnsi="Arial" w:cs="Arial"/>
                <w:color w:val="000000"/>
                <w:sz w:val="18"/>
                <w:szCs w:val="18"/>
              </w:rPr>
              <w:t>well-being</w:t>
            </w:r>
            <w:proofErr w:type="gramEnd"/>
            <w:r w:rsidRPr="00BE2BA4">
              <w:rPr>
                <w:rFonts w:ascii="Arial" w:eastAsia="Calibri" w:hAnsi="Arial" w:cs="Arial"/>
                <w:color w:val="000000"/>
                <w:sz w:val="18"/>
                <w:szCs w:val="18"/>
              </w:rPr>
              <w:t>.</w:t>
            </w:r>
          </w:p>
        </w:tc>
      </w:tr>
      <w:tr w:rsidR="00EC3929" w:rsidRPr="00BE2BA4" w14:paraId="360629DF" w14:textId="77777777" w:rsidTr="008A773F">
        <w:trPr>
          <w:trHeight w:val="1060"/>
        </w:trPr>
        <w:tc>
          <w:tcPr>
            <w:tcW w:w="0" w:type="auto"/>
            <w:tcBorders>
              <w:left w:val="single" w:sz="6" w:space="0" w:color="004386"/>
              <w:bottom w:val="single" w:sz="6" w:space="0" w:color="004386"/>
              <w:right w:val="single" w:sz="6" w:space="0" w:color="004386"/>
            </w:tcBorders>
            <w:shd w:val="clear" w:color="auto" w:fill="FFFFFF"/>
            <w:tcMar>
              <w:top w:w="80" w:type="dxa"/>
              <w:left w:w="80" w:type="dxa"/>
              <w:bottom w:w="80" w:type="dxa"/>
              <w:right w:w="80" w:type="dxa"/>
            </w:tcMar>
            <w:hideMark/>
          </w:tcPr>
          <w:p w14:paraId="3C6BE872"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FFFFFF"/>
                <w:sz w:val="12"/>
                <w:szCs w:val="12"/>
              </w:rPr>
              <w:t xml:space="preserve">Standard II: </w:t>
            </w:r>
            <w:r w:rsidRPr="00BE2BA4">
              <w:rPr>
                <w:rFonts w:ascii="Arimo" w:eastAsia="Calibri" w:hAnsi="Arimo"/>
                <w:color w:val="FFFFFF"/>
                <w:sz w:val="12"/>
                <w:szCs w:val="12"/>
              </w:rPr>
              <w:br/>
            </w:r>
            <w:r w:rsidRPr="00BE2BA4">
              <w:rPr>
                <w:rFonts w:ascii="Arial" w:eastAsia="Calibri" w:hAnsi="Arial" w:cs="Arial"/>
                <w:b/>
                <w:bCs/>
                <w:color w:val="FFFFFF"/>
                <w:sz w:val="12"/>
                <w:szCs w:val="12"/>
              </w:rPr>
              <w:t>Management and Operations</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12C132C3"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Scheduling &amp; Management Information Systems</w:t>
            </w:r>
          </w:p>
          <w:p w14:paraId="18C5120C"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(II-C)</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5B521A78"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Time for Teaching and Learning</w:t>
            </w:r>
          </w:p>
          <w:p w14:paraId="77CE4BB3"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(II-C-1)</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403B17A0"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Creates a master schedule and related systems to maximize blocks of uninterrupted instructional time and eliminate unnecessary interruptions to instruction.</w:t>
            </w:r>
          </w:p>
        </w:tc>
      </w:tr>
      <w:tr w:rsidR="00EC3929" w:rsidRPr="00BE2BA4" w14:paraId="4B4C11A3" w14:textId="77777777" w:rsidTr="008A773F">
        <w:trPr>
          <w:trHeight w:val="1000"/>
        </w:trPr>
        <w:tc>
          <w:tcPr>
            <w:tcW w:w="0" w:type="auto"/>
            <w:tcBorders>
              <w:top w:val="single" w:sz="6" w:space="0" w:color="004386"/>
              <w:left w:val="single" w:sz="6" w:space="0" w:color="004386"/>
              <w:right w:val="single" w:sz="6" w:space="0" w:color="004386"/>
            </w:tcBorders>
            <w:shd w:val="clear" w:color="auto" w:fill="FFFFFF"/>
            <w:tcMar>
              <w:top w:w="80" w:type="dxa"/>
              <w:left w:w="80" w:type="dxa"/>
              <w:bottom w:w="80" w:type="dxa"/>
              <w:right w:w="80" w:type="dxa"/>
            </w:tcMar>
            <w:hideMark/>
          </w:tcPr>
          <w:p w14:paraId="25811433"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000000"/>
                <w:sz w:val="18"/>
                <w:szCs w:val="18"/>
              </w:rPr>
              <w:t>Standard III:</w:t>
            </w:r>
            <w:r w:rsidRPr="00BE2BA4">
              <w:rPr>
                <w:rFonts w:ascii="Arimo" w:eastAsia="Calibri" w:hAnsi="Arimo"/>
                <w:color w:val="000000"/>
                <w:sz w:val="18"/>
                <w:szCs w:val="18"/>
              </w:rPr>
              <w:br/>
            </w:r>
            <w:r w:rsidRPr="00BE2BA4">
              <w:rPr>
                <w:rFonts w:ascii="Arial" w:eastAsia="Calibri" w:hAnsi="Arial" w:cs="Arial"/>
                <w:b/>
                <w:bCs/>
                <w:color w:val="000000"/>
                <w:sz w:val="18"/>
                <w:szCs w:val="18"/>
              </w:rPr>
              <w:t>Family &amp; Community Engagement</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63F0A73E"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Sharing Responsibility</w:t>
            </w:r>
          </w:p>
          <w:p w14:paraId="224CD0A3"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(III-B)</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77ECD241"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Student Support</w:t>
            </w:r>
          </w:p>
          <w:p w14:paraId="534B0E09"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(III-B-1)</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01664404"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Supports educators to identify each student’s academic, social, emotional, and behavioral needs, including students with disabilities and English learners. Collaborates with families to address student needs, utilizing resources within and outside of the school.</w:t>
            </w:r>
          </w:p>
        </w:tc>
      </w:tr>
      <w:tr w:rsidR="00EC3929" w:rsidRPr="00BE2BA4" w14:paraId="2681BB82" w14:textId="77777777" w:rsidTr="008A773F">
        <w:trPr>
          <w:trHeight w:val="860"/>
        </w:trPr>
        <w:tc>
          <w:tcPr>
            <w:tcW w:w="0" w:type="auto"/>
            <w:tcBorders>
              <w:left w:val="single" w:sz="6" w:space="0" w:color="004386"/>
              <w:bottom w:val="single" w:sz="6" w:space="0" w:color="004386"/>
              <w:right w:val="single" w:sz="6" w:space="0" w:color="004386"/>
            </w:tcBorders>
            <w:shd w:val="clear" w:color="auto" w:fill="FFFFFF"/>
            <w:tcMar>
              <w:top w:w="80" w:type="dxa"/>
              <w:left w:w="80" w:type="dxa"/>
              <w:bottom w:w="80" w:type="dxa"/>
              <w:right w:w="80" w:type="dxa"/>
            </w:tcMar>
            <w:hideMark/>
          </w:tcPr>
          <w:p w14:paraId="404D7F4B"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FFFFFF"/>
                <w:sz w:val="12"/>
                <w:szCs w:val="12"/>
              </w:rPr>
              <w:t>Standard III:</w:t>
            </w:r>
            <w:r w:rsidRPr="00BE2BA4">
              <w:rPr>
                <w:rFonts w:ascii="Arimo" w:eastAsia="Calibri" w:hAnsi="Arimo"/>
                <w:color w:val="FFFFFF"/>
                <w:sz w:val="12"/>
                <w:szCs w:val="12"/>
              </w:rPr>
              <w:br/>
            </w:r>
            <w:r w:rsidRPr="00BE2BA4">
              <w:rPr>
                <w:rFonts w:ascii="Arial" w:eastAsia="Calibri" w:hAnsi="Arial" w:cs="Arial"/>
                <w:b/>
                <w:bCs/>
                <w:color w:val="FFFFFF"/>
                <w:sz w:val="12"/>
                <w:szCs w:val="12"/>
              </w:rPr>
              <w:t>Family &amp; Community Engagement</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781946D2"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Sharing Responsibility</w:t>
            </w:r>
          </w:p>
          <w:p w14:paraId="7CBED9AD"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(III-B)</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40B1B78F"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Family Collaboration</w:t>
            </w:r>
          </w:p>
          <w:p w14:paraId="7CDBD092"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(III-B-2)</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17DD7943"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Sets clear expectations for and supports educators to regularly engage families in supporting learning at school and home, including appropriate adaptation for students with disabilities or limited English proficiency.</w:t>
            </w:r>
          </w:p>
        </w:tc>
      </w:tr>
      <w:tr w:rsidR="00EC3929" w:rsidRPr="00BE2BA4" w14:paraId="6D5CB2A1" w14:textId="77777777" w:rsidTr="008A773F">
        <w:trPr>
          <w:trHeight w:val="800"/>
        </w:trPr>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hideMark/>
          </w:tcPr>
          <w:p w14:paraId="5A033E98" w14:textId="77777777" w:rsidR="00BE2BA4" w:rsidRPr="00BE2BA4" w:rsidRDefault="00EC3929" w:rsidP="008A773F">
            <w:pPr>
              <w:spacing w:before="60" w:after="60"/>
              <w:rPr>
                <w:rFonts w:ascii="Times" w:eastAsia="Calibri" w:hAnsi="Times"/>
                <w:sz w:val="20"/>
                <w:szCs w:val="20"/>
              </w:rPr>
            </w:pPr>
            <w:r w:rsidRPr="00BE2BA4">
              <w:rPr>
                <w:rFonts w:ascii="Arial" w:eastAsia="Calibri" w:hAnsi="Arial" w:cs="Arial"/>
                <w:b/>
                <w:bCs/>
                <w:color w:val="000000"/>
                <w:sz w:val="18"/>
                <w:szCs w:val="18"/>
              </w:rPr>
              <w:t>Standard IV: Professional Culture</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49853B4A"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 xml:space="preserve">Shared Vision </w:t>
            </w:r>
          </w:p>
          <w:p w14:paraId="17405935"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color w:val="000000"/>
                <w:sz w:val="18"/>
                <w:szCs w:val="18"/>
              </w:rPr>
              <w:t>(IV-E)</w:t>
            </w:r>
          </w:p>
        </w:tc>
        <w:tc>
          <w:tcPr>
            <w:tcW w:w="0" w:type="auto"/>
            <w:tcBorders>
              <w:top w:val="single" w:sz="6" w:space="0" w:color="004386"/>
              <w:left w:val="single" w:sz="6" w:space="0" w:color="004386"/>
              <w:bottom w:val="single" w:sz="6" w:space="0" w:color="004386"/>
              <w:right w:val="single" w:sz="6" w:space="0" w:color="004386"/>
            </w:tcBorders>
            <w:shd w:val="clear" w:color="auto" w:fill="FDEADA"/>
            <w:tcMar>
              <w:top w:w="80" w:type="dxa"/>
              <w:left w:w="80" w:type="dxa"/>
              <w:bottom w:w="80" w:type="dxa"/>
              <w:right w:w="80" w:type="dxa"/>
            </w:tcMar>
            <w:vAlign w:val="center"/>
            <w:hideMark/>
          </w:tcPr>
          <w:p w14:paraId="1AAAF922" w14:textId="77777777" w:rsidR="00EC3929"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Shared Vision Development</w:t>
            </w:r>
          </w:p>
          <w:p w14:paraId="2C244DA4" w14:textId="77777777" w:rsidR="00BE2BA4" w:rsidRPr="00BE2BA4" w:rsidRDefault="00EC3929" w:rsidP="008A773F">
            <w:pPr>
              <w:spacing w:before="40" w:after="40"/>
              <w:jc w:val="center"/>
              <w:rPr>
                <w:rFonts w:ascii="Times" w:eastAsia="Calibri" w:hAnsi="Times"/>
                <w:sz w:val="20"/>
                <w:szCs w:val="20"/>
              </w:rPr>
            </w:pPr>
            <w:r w:rsidRPr="00BE2BA4">
              <w:rPr>
                <w:rFonts w:ascii="Arial" w:eastAsia="Calibri" w:hAnsi="Arial" w:cs="Arial"/>
                <w:i/>
                <w:iCs/>
                <w:color w:val="000000"/>
                <w:sz w:val="18"/>
                <w:szCs w:val="18"/>
              </w:rPr>
              <w:t>(IV-E-1)</w:t>
            </w:r>
          </w:p>
        </w:tc>
        <w:tc>
          <w:tcPr>
            <w:tcW w:w="0" w:type="auto"/>
            <w:tcBorders>
              <w:top w:val="single" w:sz="6" w:space="0" w:color="004386"/>
              <w:left w:val="single" w:sz="6" w:space="0" w:color="004386"/>
              <w:bottom w:val="single" w:sz="6" w:space="0" w:color="004386"/>
              <w:right w:val="single" w:sz="6" w:space="0" w:color="004386"/>
            </w:tcBorders>
            <w:shd w:val="clear" w:color="auto" w:fill="FFFFFF"/>
            <w:tcMar>
              <w:top w:w="80" w:type="dxa"/>
              <w:left w:w="80" w:type="dxa"/>
              <w:bottom w:w="80" w:type="dxa"/>
              <w:right w:w="80" w:type="dxa"/>
            </w:tcMar>
            <w:vAlign w:val="center"/>
            <w:hideMark/>
          </w:tcPr>
          <w:p w14:paraId="07C36094" w14:textId="77777777" w:rsidR="00BE2BA4" w:rsidRPr="00BE2BA4" w:rsidRDefault="00EC3929" w:rsidP="008A773F">
            <w:pPr>
              <w:spacing w:before="40" w:after="40"/>
              <w:rPr>
                <w:rFonts w:ascii="Times" w:eastAsia="Calibri" w:hAnsi="Times"/>
                <w:sz w:val="20"/>
                <w:szCs w:val="20"/>
              </w:rPr>
            </w:pPr>
            <w:r w:rsidRPr="00BE2BA4">
              <w:rPr>
                <w:rFonts w:ascii="Arial" w:eastAsia="Calibri" w:hAnsi="Arial" w:cs="Arial"/>
                <w:color w:val="000000"/>
                <w:sz w:val="18"/>
                <w:szCs w:val="18"/>
              </w:rPr>
              <w:t>At all grade levels, continuously engages staff, students, families, and community members in developing a vision focused on student preparation for college and career readiness, civic engagement, and community contributions.</w:t>
            </w:r>
          </w:p>
        </w:tc>
      </w:tr>
    </w:tbl>
    <w:p w14:paraId="183DB26B" w14:textId="77777777" w:rsidR="007A5B80" w:rsidRDefault="007A5B80"/>
    <w:sectPr w:rsidR="007A5B80" w:rsidSect="007A5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m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29"/>
    <w:rsid w:val="004B3112"/>
    <w:rsid w:val="007A5B80"/>
    <w:rsid w:val="00B818F2"/>
    <w:rsid w:val="00C121DE"/>
    <w:rsid w:val="00EC3929"/>
    <w:rsid w:val="00EF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13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Macintosh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Margaret</dc:creator>
  <cp:keywords/>
  <dc:description/>
  <cp:lastModifiedBy>Shepherd Margaret</cp:lastModifiedBy>
  <cp:revision>4</cp:revision>
  <cp:lastPrinted>2017-06-01T02:14:00Z</cp:lastPrinted>
  <dcterms:created xsi:type="dcterms:W3CDTF">2017-06-04T11:28:00Z</dcterms:created>
  <dcterms:modified xsi:type="dcterms:W3CDTF">2017-06-04T20:01:00Z</dcterms:modified>
</cp:coreProperties>
</file>